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82" w:rsidRDefault="00B66882" w:rsidP="00E364AA">
      <w:pPr>
        <w:rPr>
          <w:noProof/>
        </w:rPr>
      </w:pPr>
      <w:r>
        <w:rPr>
          <w:noProof/>
        </w:rPr>
        <w:drawing>
          <wp:anchor distT="0" distB="0" distL="114300" distR="114300" simplePos="0" relativeHeight="251659264" behindDoc="0" locked="0" layoutInCell="1" allowOverlap="1" wp14:anchorId="766525E1" wp14:editId="216B1935">
            <wp:simplePos x="0" y="0"/>
            <wp:positionH relativeFrom="column">
              <wp:posOffset>4514850</wp:posOffset>
            </wp:positionH>
            <wp:positionV relativeFrom="paragraph">
              <wp:posOffset>-323850</wp:posOffset>
            </wp:positionV>
            <wp:extent cx="1560830" cy="81978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830" cy="819785"/>
                    </a:xfrm>
                    <a:prstGeom prst="rect">
                      <a:avLst/>
                    </a:prstGeom>
                  </pic:spPr>
                </pic:pic>
              </a:graphicData>
            </a:graphic>
          </wp:anchor>
        </w:drawing>
      </w:r>
      <w:r>
        <w:rPr>
          <w:noProof/>
        </w:rPr>
        <w:t>Ma</w:t>
      </w:r>
      <w:r w:rsidR="00590922">
        <w:rPr>
          <w:noProof/>
        </w:rPr>
        <w:t>y 6</w:t>
      </w:r>
      <w:r>
        <w:rPr>
          <w:noProof/>
        </w:rPr>
        <w:t>, 2014</w:t>
      </w:r>
      <w:r>
        <w:rPr>
          <w:noProof/>
        </w:rPr>
        <w:tab/>
      </w:r>
      <w:r>
        <w:rPr>
          <w:noProof/>
        </w:rPr>
        <w:tab/>
      </w:r>
      <w:r>
        <w:rPr>
          <w:noProof/>
        </w:rPr>
        <w:tab/>
      </w:r>
      <w:r>
        <w:rPr>
          <w:noProof/>
        </w:rPr>
        <w:tab/>
      </w:r>
      <w:r>
        <w:rPr>
          <w:noProof/>
        </w:rPr>
        <w:tab/>
      </w:r>
      <w:r>
        <w:rPr>
          <w:noProof/>
        </w:rPr>
        <w:tab/>
      </w:r>
      <w:r>
        <w:rPr>
          <w:noProof/>
        </w:rPr>
        <w:tab/>
      </w:r>
    </w:p>
    <w:p w:rsidR="00B66882" w:rsidRDefault="00B66882" w:rsidP="00B66882">
      <w:pPr>
        <w:spacing w:after="0" w:line="240" w:lineRule="auto"/>
      </w:pPr>
      <w:r>
        <w:t>CONTACT: Matthew Harman</w:t>
      </w:r>
    </w:p>
    <w:p w:rsidR="00B66882" w:rsidRDefault="00B66882" w:rsidP="00B66882">
      <w:pPr>
        <w:spacing w:after="0" w:line="240" w:lineRule="auto"/>
      </w:pPr>
      <w:r>
        <w:t xml:space="preserve">PHONE: </w:t>
      </w:r>
      <w:r w:rsidR="00B40E7E">
        <w:t>(206) 792-7676</w:t>
      </w:r>
    </w:p>
    <w:p w:rsidR="00B66882" w:rsidRDefault="00B66882" w:rsidP="00B66882">
      <w:pPr>
        <w:spacing w:after="0" w:line="240" w:lineRule="auto"/>
      </w:pPr>
      <w:r>
        <w:t xml:space="preserve">EMAIL: </w:t>
      </w:r>
      <w:hyperlink r:id="rId10" w:history="1">
        <w:r w:rsidR="00B40E7E" w:rsidRPr="00480F57">
          <w:rPr>
            <w:rStyle w:val="Hyperlink"/>
          </w:rPr>
          <w:t>press@wjpnet.org</w:t>
        </w:r>
      </w:hyperlink>
    </w:p>
    <w:p w:rsidR="00B66882" w:rsidRDefault="00B66882" w:rsidP="00B66882">
      <w:pPr>
        <w:spacing w:after="0" w:line="240" w:lineRule="auto"/>
      </w:pPr>
    </w:p>
    <w:p w:rsidR="00A532D0" w:rsidRDefault="00A532D0" w:rsidP="00B66882">
      <w:pPr>
        <w:spacing w:after="0" w:line="240" w:lineRule="auto"/>
      </w:pPr>
    </w:p>
    <w:p w:rsidR="00A530C8" w:rsidRPr="005A28F4" w:rsidRDefault="00A530C8" w:rsidP="00B66882">
      <w:pPr>
        <w:spacing w:after="0" w:line="240" w:lineRule="auto"/>
        <w:rPr>
          <w:b/>
        </w:rPr>
      </w:pPr>
    </w:p>
    <w:p w:rsidR="00097992" w:rsidRPr="005A1211" w:rsidRDefault="00A532D0" w:rsidP="005A1211">
      <w:pPr>
        <w:spacing w:after="240"/>
        <w:ind w:left="-90" w:right="-180"/>
        <w:jc w:val="center"/>
        <w:rPr>
          <w:i/>
        </w:rPr>
      </w:pPr>
      <w:r>
        <w:rPr>
          <w:b/>
        </w:rPr>
        <w:t>W</w:t>
      </w:r>
      <w:r w:rsidR="005A1211">
        <w:rPr>
          <w:b/>
        </w:rPr>
        <w:t>ORLD JUSTICE PROJECT</w:t>
      </w:r>
      <w:r w:rsidR="006A1E20" w:rsidRPr="006A1E20">
        <w:rPr>
          <w:b/>
        </w:rPr>
        <w:t xml:space="preserve"> RATES </w:t>
      </w:r>
      <w:r w:rsidR="00644EE5">
        <w:rPr>
          <w:b/>
        </w:rPr>
        <w:t xml:space="preserve">EAST ASIAN </w:t>
      </w:r>
      <w:r w:rsidR="006A1E20" w:rsidRPr="006A1E20">
        <w:rPr>
          <w:b/>
        </w:rPr>
        <w:t xml:space="preserve">COUNTRIES </w:t>
      </w:r>
      <w:r w:rsidR="002964C1">
        <w:rPr>
          <w:b/>
        </w:rPr>
        <w:t>ON OPEN GOVERNMENT PERFORMANCE</w:t>
      </w:r>
      <w:r w:rsidR="005A1211">
        <w:rPr>
          <w:b/>
        </w:rPr>
        <w:br/>
      </w:r>
      <w:r w:rsidR="005A1211">
        <w:rPr>
          <w:i/>
        </w:rPr>
        <w:t>Regional findings presented a</w:t>
      </w:r>
      <w:r w:rsidR="005A1211" w:rsidRPr="005A1211">
        <w:rPr>
          <w:i/>
        </w:rPr>
        <w:t>t</w:t>
      </w:r>
      <w:r w:rsidR="005A1211">
        <w:rPr>
          <w:i/>
        </w:rPr>
        <w:t xml:space="preserve"> Open Government Partnership (OGP</w:t>
      </w:r>
      <w:r w:rsidR="005A1211" w:rsidRPr="005A1211">
        <w:rPr>
          <w:i/>
        </w:rPr>
        <w:t>) Asia-Pacific Regional Conference</w:t>
      </w:r>
    </w:p>
    <w:p w:rsidR="00590922" w:rsidRDefault="007708EF" w:rsidP="00C87FE8">
      <w:pPr>
        <w:spacing w:after="240"/>
      </w:pPr>
      <w:bookmarkStart w:id="0" w:name="_GoBack"/>
      <w:bookmarkEnd w:id="0"/>
      <w:r>
        <w:br/>
      </w:r>
      <w:r w:rsidR="00631237" w:rsidRPr="00631237">
        <w:t>NUSA DUA, BALI</w:t>
      </w:r>
      <w:r w:rsidR="002964C1">
        <w:t xml:space="preserve">, </w:t>
      </w:r>
      <w:r w:rsidR="002964C1" w:rsidRPr="00631237">
        <w:t>INDONESIA</w:t>
      </w:r>
      <w:r w:rsidR="00631237">
        <w:t xml:space="preserve"> </w:t>
      </w:r>
      <w:r w:rsidR="005A28F4">
        <w:t>–</w:t>
      </w:r>
      <w:r w:rsidR="005A28F4" w:rsidDel="00E914DD">
        <w:t xml:space="preserve"> </w:t>
      </w:r>
      <w:r w:rsidR="00590922">
        <w:t>On 6 May, t</w:t>
      </w:r>
      <w:r w:rsidR="001712A9">
        <w:t>he World Ju</w:t>
      </w:r>
      <w:r w:rsidR="007A7D30">
        <w:t>stice Project (WJP) formally</w:t>
      </w:r>
      <w:r w:rsidR="001712A9">
        <w:t xml:space="preserve"> presented its open government findings</w:t>
      </w:r>
      <w:r w:rsidR="00631237">
        <w:t xml:space="preserve"> </w:t>
      </w:r>
      <w:r w:rsidR="007A7D30">
        <w:t>for</w:t>
      </w:r>
      <w:r w:rsidR="001712A9">
        <w:t xml:space="preserve"> the East Asia &amp; Pacific region at the Open Government Partnership (OGP) </w:t>
      </w:r>
      <w:r>
        <w:br/>
      </w:r>
      <w:r w:rsidR="001712A9">
        <w:t>Asia-Pacific Regional Conference. The ratings draw from the</w:t>
      </w:r>
      <w:r w:rsidR="00590922">
        <w:t xml:space="preserve"> recently published</w:t>
      </w:r>
      <w:r w:rsidR="001712A9">
        <w:t xml:space="preserve"> </w:t>
      </w:r>
      <w:r w:rsidR="001712A9" w:rsidRPr="00C87FE8">
        <w:rPr>
          <w:i/>
        </w:rPr>
        <w:t>WJP Rule of Law Index 2014,</w:t>
      </w:r>
      <w:r w:rsidR="001712A9">
        <w:t xml:space="preserve"> </w:t>
      </w:r>
      <w:r w:rsidR="00B16D28">
        <w:t xml:space="preserve">released in </w:t>
      </w:r>
      <w:r w:rsidR="001712A9">
        <w:t xml:space="preserve">March 2014. </w:t>
      </w:r>
    </w:p>
    <w:p w:rsidR="00C87FE8" w:rsidRDefault="00C87FE8" w:rsidP="00C87FE8">
      <w:pPr>
        <w:spacing w:after="240"/>
      </w:pPr>
      <w:r>
        <w:t xml:space="preserve">According to the </w:t>
      </w:r>
      <w:r w:rsidRPr="00C87FE8">
        <w:rPr>
          <w:i/>
        </w:rPr>
        <w:t>WJP Rule of Law Index 2014,</w:t>
      </w:r>
      <w:r>
        <w:t xml:space="preserve"> New Zealand led the East Asia &amp; Pacific</w:t>
      </w:r>
      <w:r w:rsidR="00E27B8A">
        <w:t xml:space="preserve"> region in open g</w:t>
      </w:r>
      <w:r>
        <w:t>overnment performance</w:t>
      </w:r>
      <w:r w:rsidR="00590922">
        <w:t>, with especially high marks for its “right to information” sub-</w:t>
      </w:r>
      <w:r w:rsidR="002964C1">
        <w:t>factor score</w:t>
      </w:r>
      <w:r>
        <w:t xml:space="preserve">. Japan, Hong Kong, Australia, and the Republic of Korea were completed the </w:t>
      </w:r>
      <w:r w:rsidR="00590922">
        <w:t>list of the 5</w:t>
      </w:r>
      <w:r>
        <w:t xml:space="preserve"> best</w:t>
      </w:r>
      <w:r w:rsidR="00590922">
        <w:t xml:space="preserve"> open government</w:t>
      </w:r>
      <w:r>
        <w:t xml:space="preserve"> performers of the </w:t>
      </w:r>
      <w:r w:rsidR="00590922">
        <w:t>15</w:t>
      </w:r>
      <w:r>
        <w:t xml:space="preserve"> countries assessed by the Index. </w:t>
      </w:r>
      <w:r w:rsidR="00590922">
        <w:t>Myanmar came in 15 out of the 15 countries measured.</w:t>
      </w:r>
    </w:p>
    <w:p w:rsidR="00A532D0" w:rsidRDefault="00A532D0" w:rsidP="00C87FE8">
      <w:pPr>
        <w:spacing w:after="240"/>
      </w:pPr>
      <w:r>
        <w:t xml:space="preserve">Indonesia was ranked 7 out of 15 countries in the region for its open government </w:t>
      </w:r>
      <w:r w:rsidR="007708EF">
        <w:t xml:space="preserve">performance, but notably scored first </w:t>
      </w:r>
      <w:r w:rsidR="003276EF">
        <w:t>out of 24 countries when compared against income peers (lower middle income countries).</w:t>
      </w:r>
    </w:p>
    <w:p w:rsidR="000A0341" w:rsidRDefault="000A0341" w:rsidP="00C87FE8">
      <w:pPr>
        <w:spacing w:after="240"/>
      </w:pPr>
      <w:r>
        <w:t xml:space="preserve">The </w:t>
      </w:r>
      <w:r w:rsidR="0024010E" w:rsidRPr="007708EF">
        <w:rPr>
          <w:i/>
        </w:rPr>
        <w:t xml:space="preserve">WJP Rule of Law </w:t>
      </w:r>
      <w:r w:rsidRPr="007708EF">
        <w:rPr>
          <w:i/>
        </w:rPr>
        <w:t>Index</w:t>
      </w:r>
      <w:r w:rsidR="007708EF" w:rsidRPr="007708EF">
        <w:rPr>
          <w:i/>
        </w:rPr>
        <w:t xml:space="preserve"> 2014</w:t>
      </w:r>
      <w:r>
        <w:t xml:space="preserve"> relies on over 100,000 household and </w:t>
      </w:r>
      <w:r w:rsidR="00E741B5">
        <w:t xml:space="preserve">2,400 </w:t>
      </w:r>
      <w:r>
        <w:t xml:space="preserve">expert surveys to measure </w:t>
      </w:r>
      <w:r w:rsidRPr="009376C3">
        <w:t>how the rule of law is experienced</w:t>
      </w:r>
      <w:r>
        <w:t xml:space="preserve"> in everyday life</w:t>
      </w:r>
      <w:r w:rsidRPr="00C26354">
        <w:t xml:space="preserve"> around</w:t>
      </w:r>
      <w:r>
        <w:t xml:space="preserve"> the world</w:t>
      </w:r>
      <w:r w:rsidRPr="009376C3">
        <w:t xml:space="preserve">. </w:t>
      </w:r>
      <w:r w:rsidR="009725CC">
        <w:t>Adherence</w:t>
      </w:r>
      <w:r>
        <w:t xml:space="preserve"> is assessed </w:t>
      </w:r>
      <w:r w:rsidR="005D1B7D">
        <w:t xml:space="preserve">using </w:t>
      </w:r>
      <w:r w:rsidR="009725CC">
        <w:t>47</w:t>
      </w:r>
      <w:r>
        <w:t xml:space="preserve"> indicators organized around </w:t>
      </w:r>
      <w:r w:rsidR="00F16A22">
        <w:t>eight</w:t>
      </w:r>
      <w:r>
        <w:t xml:space="preserve"> themes: constraints on government powers, absence of corruption, open government, fundamental rights, order and security, regulatory enforcement, civil justice, and criminal justice. More than 500 variables are computed to produce these indicators for every country. </w:t>
      </w:r>
    </w:p>
    <w:p w:rsidR="00E27B8A" w:rsidRDefault="00E27B8A" w:rsidP="00E27B8A">
      <w:pPr>
        <w:spacing w:after="240"/>
      </w:pPr>
      <w:r>
        <w:t xml:space="preserve">Factor 3 (Open Government) of the </w:t>
      </w:r>
      <w:r w:rsidRPr="007708EF">
        <w:rPr>
          <w:i/>
        </w:rPr>
        <w:t>WJP Rule of Law Index</w:t>
      </w:r>
      <w:r w:rsidR="007708EF" w:rsidRPr="007708EF">
        <w:rPr>
          <w:i/>
        </w:rPr>
        <w:t xml:space="preserve"> 2014</w:t>
      </w:r>
      <w:r>
        <w:t xml:space="preserve"> assesses the extent to which the society has clear, publicized, accessible, and stable laws; whether proceedings are open to public participation; and whether official information, including drafts of laws and regulations, is available to the public. </w:t>
      </w:r>
    </w:p>
    <w:p w:rsidR="00D55D3A" w:rsidRDefault="00631237" w:rsidP="00D55D3A">
      <w:pPr>
        <w:spacing w:after="240"/>
        <w:rPr>
          <w:b/>
          <w:u w:val="single"/>
        </w:rPr>
      </w:pPr>
      <w:r w:rsidRPr="00631237">
        <w:rPr>
          <w:b/>
          <w:u w:val="single"/>
        </w:rPr>
        <w:t>Open Government Rankings: East Asia &amp; Pacific Region (1 is best):</w:t>
      </w:r>
    </w:p>
    <w:tbl>
      <w:tblPr>
        <w:tblW w:w="0" w:type="auto"/>
        <w:tblInd w:w="80" w:type="dxa"/>
        <w:tblCellMar>
          <w:left w:w="0" w:type="dxa"/>
          <w:right w:w="0" w:type="dxa"/>
        </w:tblCellMar>
        <w:tblLook w:val="04A0" w:firstRow="1" w:lastRow="0" w:firstColumn="1" w:lastColumn="0" w:noHBand="0" w:noVBand="1"/>
      </w:tblPr>
      <w:tblGrid>
        <w:gridCol w:w="1806"/>
        <w:gridCol w:w="1074"/>
        <w:gridCol w:w="1683"/>
        <w:gridCol w:w="1197"/>
        <w:gridCol w:w="1530"/>
      </w:tblGrid>
      <w:tr w:rsidR="00D55D3A" w:rsidRPr="00D55D3A" w:rsidTr="00D55D3A">
        <w:trPr>
          <w:trHeight w:val="285"/>
        </w:trPr>
        <w:tc>
          <w:tcPr>
            <w:tcW w:w="1806" w:type="dxa"/>
            <w:vMerge w:val="restart"/>
            <w:tcBorders>
              <w:top w:val="dotted" w:sz="8" w:space="0" w:color="000000"/>
              <w:left w:val="single" w:sz="8" w:space="0" w:color="auto"/>
              <w:bottom w:val="single" w:sz="8" w:space="0" w:color="auto"/>
              <w:right w:val="single" w:sz="8" w:space="0" w:color="auto"/>
            </w:tcBorders>
            <w:shd w:val="clear" w:color="auto" w:fill="2D006C"/>
            <w:tcMar>
              <w:top w:w="9" w:type="dxa"/>
              <w:left w:w="80" w:type="dxa"/>
              <w:bottom w:w="9" w:type="dxa"/>
              <w:right w:w="9" w:type="dxa"/>
            </w:tcMar>
            <w:vAlign w:val="center"/>
            <w:hideMark/>
          </w:tcPr>
          <w:p w:rsidR="00D55D3A" w:rsidRPr="00D55D3A" w:rsidRDefault="00D55D3A">
            <w:pPr>
              <w:autoSpaceDE w:val="0"/>
              <w:autoSpaceDN w:val="0"/>
              <w:spacing w:line="120" w:lineRule="atLeast"/>
              <w:ind w:left="28" w:right="28"/>
              <w:textAlignment w:val="center"/>
              <w:rPr>
                <w:b/>
                <w:bCs/>
                <w:caps/>
                <w:color w:val="FFFFFF"/>
                <w:spacing w:val="12"/>
                <w:sz w:val="18"/>
                <w:szCs w:val="18"/>
              </w:rPr>
            </w:pPr>
            <w:r w:rsidRPr="00D55D3A">
              <w:rPr>
                <w:b/>
                <w:bCs/>
                <w:caps/>
                <w:color w:val="FFFFFF"/>
                <w:spacing w:val="12"/>
                <w:sz w:val="18"/>
                <w:szCs w:val="18"/>
              </w:rPr>
              <w:t>country</w:t>
            </w:r>
          </w:p>
        </w:tc>
        <w:tc>
          <w:tcPr>
            <w:tcW w:w="3954" w:type="dxa"/>
            <w:gridSpan w:val="3"/>
            <w:tcBorders>
              <w:top w:val="dotted" w:sz="8" w:space="0" w:color="000000"/>
              <w:left w:val="nil"/>
              <w:bottom w:val="dotted" w:sz="8" w:space="0" w:color="FFFFFF"/>
              <w:right w:val="single" w:sz="8" w:space="0" w:color="auto"/>
            </w:tcBorders>
            <w:shd w:val="clear" w:color="auto" w:fill="2D006C"/>
            <w:tcMar>
              <w:top w:w="9" w:type="dxa"/>
              <w:left w:w="9" w:type="dxa"/>
              <w:bottom w:w="9" w:type="dxa"/>
              <w:right w:w="9" w:type="dxa"/>
            </w:tcMar>
            <w:vAlign w:val="center"/>
            <w:hideMark/>
          </w:tcPr>
          <w:p w:rsidR="00D55D3A" w:rsidRPr="00D55D3A" w:rsidRDefault="00D55D3A">
            <w:pPr>
              <w:autoSpaceDE w:val="0"/>
              <w:autoSpaceDN w:val="0"/>
              <w:spacing w:line="120" w:lineRule="atLeast"/>
              <w:ind w:left="28" w:right="28"/>
              <w:jc w:val="center"/>
              <w:textAlignment w:val="center"/>
              <w:rPr>
                <w:b/>
                <w:bCs/>
                <w:caps/>
                <w:color w:val="FFFFFF"/>
                <w:spacing w:val="12"/>
                <w:sz w:val="18"/>
                <w:szCs w:val="18"/>
              </w:rPr>
            </w:pPr>
            <w:r w:rsidRPr="00D55D3A">
              <w:rPr>
                <w:b/>
                <w:bCs/>
                <w:caps/>
                <w:color w:val="FFFFFF"/>
                <w:spacing w:val="12"/>
                <w:sz w:val="18"/>
                <w:szCs w:val="18"/>
              </w:rPr>
              <w:t>Rank</w:t>
            </w:r>
          </w:p>
        </w:tc>
        <w:tc>
          <w:tcPr>
            <w:tcW w:w="1530" w:type="dxa"/>
            <w:vMerge w:val="restart"/>
            <w:tcBorders>
              <w:top w:val="dotted" w:sz="8" w:space="0" w:color="000000"/>
              <w:left w:val="nil"/>
              <w:bottom w:val="single" w:sz="8" w:space="0" w:color="auto"/>
              <w:right w:val="single" w:sz="8" w:space="0" w:color="auto"/>
            </w:tcBorders>
            <w:shd w:val="clear" w:color="auto" w:fill="2D006C"/>
            <w:tcMar>
              <w:top w:w="9" w:type="dxa"/>
              <w:left w:w="9" w:type="dxa"/>
              <w:bottom w:w="9" w:type="dxa"/>
              <w:right w:w="9" w:type="dxa"/>
            </w:tcMar>
            <w:vAlign w:val="center"/>
            <w:hideMark/>
          </w:tcPr>
          <w:p w:rsidR="00D55D3A" w:rsidRPr="00D55D3A" w:rsidRDefault="00D55D3A">
            <w:pPr>
              <w:autoSpaceDE w:val="0"/>
              <w:autoSpaceDN w:val="0"/>
              <w:spacing w:line="120" w:lineRule="atLeast"/>
              <w:ind w:left="28" w:right="28"/>
              <w:jc w:val="center"/>
              <w:textAlignment w:val="center"/>
              <w:rPr>
                <w:b/>
                <w:bCs/>
                <w:caps/>
                <w:color w:val="FFFFFF"/>
                <w:spacing w:val="12"/>
                <w:sz w:val="18"/>
                <w:szCs w:val="18"/>
              </w:rPr>
            </w:pPr>
            <w:r w:rsidRPr="00D55D3A">
              <w:rPr>
                <w:b/>
                <w:bCs/>
                <w:caps/>
                <w:color w:val="FFFFFF"/>
                <w:spacing w:val="12"/>
                <w:sz w:val="18"/>
                <w:szCs w:val="18"/>
              </w:rPr>
              <w:t>Open Government score</w:t>
            </w:r>
          </w:p>
        </w:tc>
      </w:tr>
      <w:tr w:rsidR="00D55D3A" w:rsidRPr="00D55D3A" w:rsidTr="00FD0702">
        <w:trPr>
          <w:trHeight w:hRule="exact" w:val="317"/>
        </w:trPr>
        <w:tc>
          <w:tcPr>
            <w:tcW w:w="0" w:type="auto"/>
            <w:vMerge/>
            <w:tcBorders>
              <w:top w:val="dotted" w:sz="8" w:space="0" w:color="000000"/>
              <w:left w:val="single" w:sz="8" w:space="0" w:color="auto"/>
              <w:bottom w:val="single" w:sz="8" w:space="0" w:color="auto"/>
              <w:right w:val="single" w:sz="8" w:space="0" w:color="auto"/>
            </w:tcBorders>
            <w:vAlign w:val="center"/>
            <w:hideMark/>
          </w:tcPr>
          <w:p w:rsidR="00D55D3A" w:rsidRPr="00D55D3A" w:rsidRDefault="00D55D3A">
            <w:pPr>
              <w:rPr>
                <w:b/>
                <w:bCs/>
                <w:caps/>
                <w:color w:val="FFFFFF"/>
                <w:spacing w:val="12"/>
                <w:sz w:val="18"/>
                <w:szCs w:val="18"/>
              </w:rPr>
            </w:pPr>
          </w:p>
        </w:tc>
        <w:tc>
          <w:tcPr>
            <w:tcW w:w="1074" w:type="dxa"/>
            <w:tcBorders>
              <w:top w:val="nil"/>
              <w:left w:val="nil"/>
              <w:bottom w:val="single" w:sz="8" w:space="0" w:color="auto"/>
              <w:right w:val="single" w:sz="8" w:space="0" w:color="auto"/>
            </w:tcBorders>
            <w:shd w:val="clear" w:color="auto" w:fill="2D006C"/>
            <w:tcMar>
              <w:top w:w="9" w:type="dxa"/>
              <w:left w:w="9" w:type="dxa"/>
              <w:bottom w:w="9" w:type="dxa"/>
              <w:right w:w="9" w:type="dxa"/>
            </w:tcMar>
            <w:vAlign w:val="center"/>
            <w:hideMark/>
          </w:tcPr>
          <w:p w:rsidR="00D55D3A" w:rsidRPr="00D55D3A" w:rsidRDefault="00D55D3A">
            <w:pPr>
              <w:autoSpaceDE w:val="0"/>
              <w:autoSpaceDN w:val="0"/>
              <w:spacing w:line="120" w:lineRule="atLeast"/>
              <w:ind w:left="28" w:right="28"/>
              <w:jc w:val="center"/>
              <w:textAlignment w:val="center"/>
              <w:rPr>
                <w:b/>
                <w:bCs/>
                <w:caps/>
                <w:color w:val="FFFFFF"/>
                <w:spacing w:val="12"/>
                <w:sz w:val="18"/>
                <w:szCs w:val="18"/>
              </w:rPr>
            </w:pPr>
            <w:r w:rsidRPr="00D55D3A">
              <w:rPr>
                <w:b/>
                <w:bCs/>
                <w:caps/>
                <w:color w:val="FFFFFF"/>
                <w:spacing w:val="12"/>
                <w:sz w:val="18"/>
                <w:szCs w:val="18"/>
              </w:rPr>
              <w:t>Regional</w:t>
            </w:r>
          </w:p>
        </w:tc>
        <w:tc>
          <w:tcPr>
            <w:tcW w:w="1683" w:type="dxa"/>
            <w:tcBorders>
              <w:top w:val="nil"/>
              <w:left w:val="nil"/>
              <w:bottom w:val="single" w:sz="8" w:space="0" w:color="auto"/>
              <w:right w:val="single" w:sz="8" w:space="0" w:color="auto"/>
            </w:tcBorders>
            <w:shd w:val="clear" w:color="auto" w:fill="2D006C"/>
            <w:tcMar>
              <w:top w:w="9" w:type="dxa"/>
              <w:left w:w="9" w:type="dxa"/>
              <w:bottom w:w="9" w:type="dxa"/>
              <w:right w:w="9" w:type="dxa"/>
            </w:tcMar>
            <w:vAlign w:val="center"/>
            <w:hideMark/>
          </w:tcPr>
          <w:p w:rsidR="00D55D3A" w:rsidRPr="00D55D3A" w:rsidRDefault="00D55D3A">
            <w:pPr>
              <w:autoSpaceDE w:val="0"/>
              <w:autoSpaceDN w:val="0"/>
              <w:spacing w:line="120" w:lineRule="atLeast"/>
              <w:ind w:left="28" w:right="28"/>
              <w:jc w:val="center"/>
              <w:textAlignment w:val="center"/>
              <w:rPr>
                <w:b/>
                <w:bCs/>
                <w:caps/>
                <w:color w:val="FFFFFF"/>
                <w:spacing w:val="12"/>
                <w:sz w:val="18"/>
                <w:szCs w:val="18"/>
              </w:rPr>
            </w:pPr>
            <w:r w:rsidRPr="00D55D3A">
              <w:rPr>
                <w:b/>
                <w:bCs/>
                <w:caps/>
                <w:color w:val="FFFFFF"/>
                <w:spacing w:val="12"/>
                <w:sz w:val="18"/>
                <w:szCs w:val="18"/>
              </w:rPr>
              <w:t>Income Group</w:t>
            </w:r>
          </w:p>
        </w:tc>
        <w:tc>
          <w:tcPr>
            <w:tcW w:w="1197" w:type="dxa"/>
            <w:tcBorders>
              <w:top w:val="nil"/>
              <w:left w:val="nil"/>
              <w:bottom w:val="single" w:sz="8" w:space="0" w:color="auto"/>
              <w:right w:val="single" w:sz="8" w:space="0" w:color="auto"/>
            </w:tcBorders>
            <w:shd w:val="clear" w:color="auto" w:fill="2D006C"/>
            <w:tcMar>
              <w:top w:w="9" w:type="dxa"/>
              <w:left w:w="9" w:type="dxa"/>
              <w:bottom w:w="9" w:type="dxa"/>
              <w:right w:w="9" w:type="dxa"/>
            </w:tcMar>
            <w:vAlign w:val="center"/>
            <w:hideMark/>
          </w:tcPr>
          <w:p w:rsidR="00D55D3A" w:rsidRPr="00D55D3A" w:rsidRDefault="00D55D3A">
            <w:pPr>
              <w:autoSpaceDE w:val="0"/>
              <w:autoSpaceDN w:val="0"/>
              <w:spacing w:line="120" w:lineRule="atLeast"/>
              <w:ind w:left="28" w:right="28"/>
              <w:jc w:val="center"/>
              <w:textAlignment w:val="center"/>
              <w:rPr>
                <w:b/>
                <w:bCs/>
                <w:caps/>
                <w:color w:val="FFFFFF"/>
                <w:spacing w:val="12"/>
                <w:sz w:val="18"/>
                <w:szCs w:val="18"/>
              </w:rPr>
            </w:pPr>
            <w:r w:rsidRPr="00D55D3A">
              <w:rPr>
                <w:b/>
                <w:bCs/>
                <w:caps/>
                <w:color w:val="FFFFFF"/>
                <w:spacing w:val="12"/>
                <w:sz w:val="18"/>
                <w:szCs w:val="18"/>
              </w:rPr>
              <w:t>global</w:t>
            </w:r>
          </w:p>
        </w:tc>
        <w:tc>
          <w:tcPr>
            <w:tcW w:w="1530" w:type="dxa"/>
            <w:vMerge/>
            <w:tcBorders>
              <w:top w:val="dotted" w:sz="8" w:space="0" w:color="000000"/>
              <w:left w:val="nil"/>
              <w:bottom w:val="single" w:sz="8" w:space="0" w:color="auto"/>
              <w:right w:val="single" w:sz="8" w:space="0" w:color="auto"/>
            </w:tcBorders>
            <w:vAlign w:val="center"/>
            <w:hideMark/>
          </w:tcPr>
          <w:p w:rsidR="00D55D3A" w:rsidRPr="00D55D3A" w:rsidRDefault="00D55D3A">
            <w:pPr>
              <w:rPr>
                <w:b/>
                <w:bCs/>
                <w:caps/>
                <w:color w:val="FFFFFF"/>
                <w:spacing w:val="12"/>
                <w:sz w:val="18"/>
                <w:szCs w:val="18"/>
              </w:rPr>
            </w:pP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New Zealand</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2/30</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2/99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0.83</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Japan</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2/15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8/30</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8/99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0.77</w:t>
            </w:r>
          </w:p>
        </w:tc>
      </w:tr>
      <w:tr w:rsidR="00D55D3A" w:rsidRPr="00D55D3A" w:rsidTr="00FD0702">
        <w:trPr>
          <w:trHeight w:val="493"/>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Hong Kong SAR, China</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3/15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10/30</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10/99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0.77</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lastRenderedPageBreak/>
              <w:t>Australia</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4/15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12/30</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12/99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0.75</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Republic of Korea</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5/15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13/30</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13/99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0.74</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Singapore</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6/15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20/30</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21/99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0.64</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Indonesia</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7/15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1/24</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29/99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0.54</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Malaysia</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8/15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9/29</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42/99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0.48</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Thailand</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9/15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15/29</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50/99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0.47</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Philippines</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4"/>
                <w:sz w:val="18"/>
                <w:szCs w:val="18"/>
              </w:rPr>
              <w:t>10</w:t>
            </w:r>
            <w:r w:rsidRPr="00D55D3A">
              <w:rPr>
                <w:spacing w:val="12"/>
                <w:sz w:val="18"/>
                <w:szCs w:val="18"/>
              </w:rPr>
              <w:t>/15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9/24</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55/99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0.45</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China</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11/15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24/29</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74/99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0.41</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Vietnam</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12/15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16/24</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77/99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0.39</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Cambodia</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13/15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8/16</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82/99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0.38</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shd w:val="clear" w:color="auto" w:fill="D9D9D9"/>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Mongolia</w:t>
            </w:r>
          </w:p>
        </w:tc>
        <w:tc>
          <w:tcPr>
            <w:tcW w:w="1074"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14/15</w:t>
            </w:r>
          </w:p>
        </w:tc>
        <w:tc>
          <w:tcPr>
            <w:tcW w:w="1683"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23/24</w:t>
            </w:r>
          </w:p>
        </w:tc>
        <w:tc>
          <w:tcPr>
            <w:tcW w:w="1197" w:type="dxa"/>
            <w:tcBorders>
              <w:top w:val="nil"/>
              <w:left w:val="nil"/>
              <w:bottom w:val="dotted" w:sz="8" w:space="0" w:color="000000"/>
              <w:right w:val="single" w:sz="8" w:space="0" w:color="auto"/>
            </w:tcBorders>
            <w:shd w:val="clear" w:color="auto" w:fill="D9D9D9"/>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93/99</w:t>
            </w:r>
          </w:p>
        </w:tc>
        <w:tc>
          <w:tcPr>
            <w:tcW w:w="1530" w:type="dxa"/>
            <w:tcBorders>
              <w:top w:val="nil"/>
              <w:left w:val="nil"/>
              <w:bottom w:val="dotted" w:sz="8" w:space="0" w:color="000000"/>
              <w:right w:val="single" w:sz="8" w:space="0" w:color="auto"/>
            </w:tcBorders>
            <w:shd w:val="clear" w:color="auto" w:fill="D9D9D9"/>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0.33</w:t>
            </w:r>
          </w:p>
        </w:tc>
      </w:tr>
      <w:tr w:rsidR="00D55D3A" w:rsidRPr="00D55D3A" w:rsidTr="00FD0702">
        <w:trPr>
          <w:trHeight w:val="236"/>
        </w:trPr>
        <w:tc>
          <w:tcPr>
            <w:tcW w:w="1806" w:type="dxa"/>
            <w:tcBorders>
              <w:top w:val="nil"/>
              <w:left w:val="single" w:sz="8" w:space="0" w:color="auto"/>
              <w:bottom w:val="dotted" w:sz="8" w:space="0" w:color="000000"/>
              <w:right w:val="single" w:sz="8" w:space="0" w:color="auto"/>
            </w:tcBorders>
            <w:tcMar>
              <w:top w:w="8" w:type="dxa"/>
              <w:left w:w="80" w:type="dxa"/>
              <w:bottom w:w="20" w:type="dxa"/>
              <w:right w:w="8" w:type="dxa"/>
            </w:tcMar>
            <w:vAlign w:val="center"/>
            <w:hideMark/>
          </w:tcPr>
          <w:p w:rsidR="00D55D3A" w:rsidRPr="00D55D3A" w:rsidRDefault="00D55D3A" w:rsidP="00D55D3A">
            <w:pPr>
              <w:autoSpaceDE w:val="0"/>
              <w:autoSpaceDN w:val="0"/>
              <w:spacing w:line="100" w:lineRule="atLeast"/>
              <w:textAlignment w:val="center"/>
              <w:rPr>
                <w:spacing w:val="12"/>
                <w:sz w:val="18"/>
                <w:szCs w:val="18"/>
              </w:rPr>
            </w:pPr>
            <w:r w:rsidRPr="00D55D3A">
              <w:rPr>
                <w:spacing w:val="12"/>
                <w:sz w:val="18"/>
                <w:szCs w:val="18"/>
              </w:rPr>
              <w:t>Myanmar</w:t>
            </w:r>
          </w:p>
        </w:tc>
        <w:tc>
          <w:tcPr>
            <w:tcW w:w="1074"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15/15</w:t>
            </w:r>
          </w:p>
        </w:tc>
        <w:tc>
          <w:tcPr>
            <w:tcW w:w="1683"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autoSpaceDE w:val="0"/>
              <w:autoSpaceDN w:val="0"/>
              <w:spacing w:line="100" w:lineRule="atLeast"/>
              <w:jc w:val="center"/>
              <w:textAlignment w:val="center"/>
              <w:rPr>
                <w:spacing w:val="12"/>
                <w:sz w:val="18"/>
                <w:szCs w:val="18"/>
              </w:rPr>
            </w:pPr>
            <w:r w:rsidRPr="00D55D3A">
              <w:rPr>
                <w:spacing w:val="12"/>
                <w:sz w:val="18"/>
                <w:szCs w:val="18"/>
              </w:rPr>
              <w:t>14/16</w:t>
            </w:r>
          </w:p>
        </w:tc>
        <w:tc>
          <w:tcPr>
            <w:tcW w:w="1197" w:type="dxa"/>
            <w:tcBorders>
              <w:top w:val="nil"/>
              <w:left w:val="nil"/>
              <w:bottom w:val="dotted" w:sz="8" w:space="0" w:color="000000"/>
              <w:right w:val="single" w:sz="8" w:space="0" w:color="auto"/>
            </w:tcBorders>
            <w:tcMar>
              <w:top w:w="8" w:type="dxa"/>
              <w:left w:w="120" w:type="dxa"/>
              <w:bottom w:w="20" w:type="dxa"/>
              <w:right w:w="100" w:type="dxa"/>
            </w:tcMar>
            <w:vAlign w:val="center"/>
            <w:hideMark/>
          </w:tcPr>
          <w:p w:rsidR="00D55D3A" w:rsidRPr="00D55D3A" w:rsidRDefault="00D55D3A" w:rsidP="00D55D3A">
            <w:pPr>
              <w:pStyle w:val="rankingstableCA"/>
              <w:rPr>
                <w:rFonts w:asciiTheme="minorHAnsi" w:hAnsiTheme="minorHAnsi"/>
                <w:color w:val="auto"/>
                <w:sz w:val="18"/>
                <w:szCs w:val="18"/>
              </w:rPr>
            </w:pPr>
            <w:r w:rsidRPr="00D55D3A">
              <w:rPr>
                <w:rFonts w:asciiTheme="minorHAnsi" w:hAnsiTheme="minorHAnsi"/>
                <w:color w:val="auto"/>
                <w:sz w:val="18"/>
                <w:szCs w:val="18"/>
              </w:rPr>
              <w:t>96/99</w:t>
            </w:r>
          </w:p>
        </w:tc>
        <w:tc>
          <w:tcPr>
            <w:tcW w:w="1530" w:type="dxa"/>
            <w:tcBorders>
              <w:top w:val="nil"/>
              <w:left w:val="nil"/>
              <w:bottom w:val="dotted" w:sz="8" w:space="0" w:color="000000"/>
              <w:right w:val="single" w:sz="8" w:space="0" w:color="auto"/>
            </w:tcBorders>
            <w:tcMar>
              <w:top w:w="8" w:type="dxa"/>
              <w:left w:w="57" w:type="dxa"/>
              <w:bottom w:w="20" w:type="dxa"/>
              <w:right w:w="8" w:type="dxa"/>
            </w:tcMar>
            <w:vAlign w:val="center"/>
            <w:hideMark/>
          </w:tcPr>
          <w:p w:rsidR="00D55D3A" w:rsidRPr="00D55D3A" w:rsidRDefault="00D55D3A" w:rsidP="00FD0702">
            <w:pPr>
              <w:autoSpaceDE w:val="0"/>
              <w:autoSpaceDN w:val="0"/>
              <w:spacing w:line="100" w:lineRule="atLeast"/>
              <w:jc w:val="center"/>
              <w:textAlignment w:val="center"/>
              <w:rPr>
                <w:spacing w:val="12"/>
                <w:sz w:val="18"/>
                <w:szCs w:val="18"/>
              </w:rPr>
            </w:pPr>
            <w:r w:rsidRPr="00D55D3A">
              <w:rPr>
                <w:spacing w:val="12"/>
                <w:sz w:val="18"/>
                <w:szCs w:val="18"/>
              </w:rPr>
              <w:t>0.31</w:t>
            </w:r>
          </w:p>
        </w:tc>
      </w:tr>
    </w:tbl>
    <w:p w:rsidR="00DE00D2" w:rsidRPr="00425444" w:rsidRDefault="00FD0702" w:rsidP="00E27B8A">
      <w:pPr>
        <w:spacing w:after="240"/>
        <w:rPr>
          <w:i/>
          <w:sz w:val="20"/>
          <w:szCs w:val="20"/>
        </w:rPr>
      </w:pPr>
      <w:r>
        <w:rPr>
          <w:sz w:val="20"/>
          <w:szCs w:val="20"/>
        </w:rPr>
        <w:br/>
      </w:r>
      <w:r w:rsidR="00DE00D2" w:rsidRPr="00425444">
        <w:rPr>
          <w:i/>
          <w:sz w:val="20"/>
          <w:szCs w:val="20"/>
        </w:rPr>
        <w:t>(</w:t>
      </w:r>
      <w:r w:rsidR="00631237" w:rsidRPr="00425444">
        <w:rPr>
          <w:i/>
          <w:sz w:val="20"/>
          <w:szCs w:val="20"/>
        </w:rPr>
        <w:t xml:space="preserve">Complete </w:t>
      </w:r>
      <w:r w:rsidR="00DE00D2" w:rsidRPr="00425444">
        <w:rPr>
          <w:i/>
          <w:sz w:val="20"/>
          <w:szCs w:val="20"/>
        </w:rPr>
        <w:t xml:space="preserve">rankings of all 99 countries surveyed can be found on the WJP website: </w:t>
      </w:r>
      <w:hyperlink r:id="rId11" w:anchor="table" w:history="1">
        <w:r w:rsidR="00DE00D2" w:rsidRPr="00425444">
          <w:rPr>
            <w:rStyle w:val="Hyperlink"/>
            <w:i/>
            <w:sz w:val="20"/>
            <w:szCs w:val="20"/>
          </w:rPr>
          <w:t>http://data.worldjusticeproject.org/#table</w:t>
        </w:r>
      </w:hyperlink>
      <w:r w:rsidR="002964C1" w:rsidRPr="00425444">
        <w:rPr>
          <w:i/>
          <w:sz w:val="20"/>
          <w:szCs w:val="20"/>
        </w:rPr>
        <w:t>. Note that clicking on the country name will bring up a detailed profile</w:t>
      </w:r>
      <w:r w:rsidR="00631237" w:rsidRPr="00425444">
        <w:rPr>
          <w:i/>
          <w:sz w:val="20"/>
          <w:szCs w:val="20"/>
        </w:rPr>
        <w:t>.)</w:t>
      </w:r>
    </w:p>
    <w:p w:rsidR="00C87FE8" w:rsidRDefault="00FD0702" w:rsidP="00590922">
      <w:r>
        <w:br/>
      </w:r>
      <w:r w:rsidR="00E27B8A">
        <w:t>“An open government</w:t>
      </w:r>
      <w:r w:rsidR="000F55C3">
        <w:t>—one</w:t>
      </w:r>
      <w:r w:rsidR="00E27B8A">
        <w:t xml:space="preserve"> that is transparent, accessible, and responsive </w:t>
      </w:r>
      <w:r w:rsidR="000F55C3">
        <w:t>—</w:t>
      </w:r>
      <w:r w:rsidR="00E27B8A">
        <w:t xml:space="preserve">is fundamental to establishing the rule of law. </w:t>
      </w:r>
      <w:r w:rsidR="00590922">
        <w:t>Such a government</w:t>
      </w:r>
      <w:r w:rsidR="00E27B8A">
        <w:t xml:space="preserve"> fosters citizens’ participation in decision making, provides access to information, empowers people with tools to hold the government accountable</w:t>
      </w:r>
      <w:r w:rsidR="00590922">
        <w:t>, and u</w:t>
      </w:r>
      <w:r w:rsidR="000F55C3">
        <w:t>ltimately enhances the government’s legitimacy</w:t>
      </w:r>
      <w:r>
        <w:t xml:space="preserve"> among the population,” said </w:t>
      </w:r>
      <w:r w:rsidR="000F55C3">
        <w:t>Juan Carlos Botero, Executive Director of the World Justice Project. “</w:t>
      </w:r>
      <w:r w:rsidR="002964C1">
        <w:t>In recent years w</w:t>
      </w:r>
      <w:r w:rsidR="000F55C3">
        <w:t>e have seen positive</w:t>
      </w:r>
      <w:r w:rsidR="00590922">
        <w:t xml:space="preserve"> </w:t>
      </w:r>
      <w:r w:rsidR="00B16D28">
        <w:t>movements by many governments</w:t>
      </w:r>
      <w:r w:rsidR="00C87FE8">
        <w:t xml:space="preserve"> </w:t>
      </w:r>
      <w:r w:rsidR="000F55C3">
        <w:t>taking</w:t>
      </w:r>
      <w:r w:rsidR="00C87FE8">
        <w:t xml:space="preserve"> steps to become more transparent, responsive, and participatory. The</w:t>
      </w:r>
      <w:r w:rsidR="000F55C3">
        <w:t xml:space="preserve"> </w:t>
      </w:r>
      <w:r w:rsidR="00C87FE8">
        <w:t>Open Government Partnership</w:t>
      </w:r>
      <w:r w:rsidR="00590922">
        <w:t xml:space="preserve"> </w:t>
      </w:r>
      <w:r w:rsidR="00C87FE8">
        <w:t xml:space="preserve">is </w:t>
      </w:r>
      <w:r w:rsidR="00B16D28">
        <w:t>a prime example</w:t>
      </w:r>
      <w:r w:rsidR="00C87FE8">
        <w:t xml:space="preserve"> of this </w:t>
      </w:r>
      <w:r w:rsidR="000F55C3">
        <w:t xml:space="preserve">encouraging </w:t>
      </w:r>
      <w:r w:rsidR="00C87FE8">
        <w:t>global trend</w:t>
      </w:r>
      <w:r w:rsidR="000F55C3">
        <w:t>.”</w:t>
      </w:r>
    </w:p>
    <w:p w:rsidR="002964C1" w:rsidRDefault="002964C1" w:rsidP="002964C1">
      <w:pPr>
        <w:spacing w:after="240"/>
      </w:pPr>
      <w:r>
        <w:t xml:space="preserve">Dr. Botero discussed WJP’s open government findings during the OGP breakout session, </w:t>
      </w:r>
      <w:r w:rsidRPr="007A7D30">
        <w:t>“Measuring Civic Engagement for B</w:t>
      </w:r>
      <w:r>
        <w:t>etter Open Government Policies and</w:t>
      </w:r>
      <w:r w:rsidRPr="007A7D30">
        <w:t xml:space="preserve"> Services</w:t>
      </w:r>
      <w:r>
        <w:t>.</w:t>
      </w:r>
      <w:r w:rsidRPr="007A7D30">
        <w:t>”</w:t>
      </w:r>
    </w:p>
    <w:p w:rsidR="00F87B24" w:rsidRDefault="00AC3557" w:rsidP="00C87FE8">
      <w:pPr>
        <w:spacing w:after="240"/>
      </w:pPr>
      <w:r>
        <w:t>A copy of the full</w:t>
      </w:r>
      <w:r w:rsidR="002710F4">
        <w:t xml:space="preserve"> </w:t>
      </w:r>
      <w:r w:rsidR="002710F4" w:rsidRPr="002710F4">
        <w:rPr>
          <w:i/>
        </w:rPr>
        <w:t>WJP Rule of Law</w:t>
      </w:r>
      <w:r w:rsidRPr="002710F4">
        <w:rPr>
          <w:i/>
        </w:rPr>
        <w:t xml:space="preserve"> Index</w:t>
      </w:r>
      <w:r w:rsidR="002710F4" w:rsidRPr="002710F4">
        <w:rPr>
          <w:i/>
        </w:rPr>
        <w:t xml:space="preserve"> 2014</w:t>
      </w:r>
      <w:r w:rsidR="00D3147A">
        <w:t>,</w:t>
      </w:r>
      <w:r>
        <w:t xml:space="preserve"> </w:t>
      </w:r>
      <w:r w:rsidR="005501B5">
        <w:t xml:space="preserve">including </w:t>
      </w:r>
      <w:r w:rsidR="00631237">
        <w:t xml:space="preserve">in-depth information on Open Government scoring and </w:t>
      </w:r>
      <w:r w:rsidR="005501B5">
        <w:t xml:space="preserve">individual country profiles </w:t>
      </w:r>
      <w:r w:rsidR="00D3147A">
        <w:t>for</w:t>
      </w:r>
      <w:r w:rsidR="005501B5">
        <w:t xml:space="preserve"> the 99 countries surveyed</w:t>
      </w:r>
      <w:r w:rsidR="00E04C50">
        <w:t>,</w:t>
      </w:r>
      <w:r w:rsidR="005501B5">
        <w:t xml:space="preserve"> </w:t>
      </w:r>
      <w:r>
        <w:t xml:space="preserve">can </w:t>
      </w:r>
      <w:r w:rsidR="00F87B24">
        <w:t xml:space="preserve">be downloaded at:  </w:t>
      </w:r>
      <w:hyperlink r:id="rId12" w:history="1">
        <w:r w:rsidR="00F87B24" w:rsidRPr="00F87B24">
          <w:rPr>
            <w:rStyle w:val="Hyperlink"/>
          </w:rPr>
          <w:t>worldjusticeproject.org/rule-of-law-index</w:t>
        </w:r>
      </w:hyperlink>
    </w:p>
    <w:p w:rsidR="002710F4" w:rsidRPr="002710F4" w:rsidRDefault="002710F4" w:rsidP="00C87FE8">
      <w:pPr>
        <w:spacing w:after="240"/>
      </w:pPr>
      <w:r w:rsidRPr="002710F4">
        <w:t xml:space="preserve">An interview with a World Justice Project representative can be arranged by contacting </w:t>
      </w:r>
      <w:hyperlink r:id="rId13" w:history="1">
        <w:r w:rsidRPr="002710F4">
          <w:rPr>
            <w:rStyle w:val="Hyperlink"/>
            <w:b/>
          </w:rPr>
          <w:t>Matthew Harman</w:t>
        </w:r>
      </w:hyperlink>
      <w:r w:rsidR="00BE0B52">
        <w:t xml:space="preserve"> at +1 (206) 792-7676.</w:t>
      </w:r>
    </w:p>
    <w:p w:rsidR="002710F4" w:rsidRDefault="002710F4" w:rsidP="00C87FE8">
      <w:pPr>
        <w:spacing w:after="240"/>
      </w:pPr>
    </w:p>
    <w:p w:rsidR="005A28F4" w:rsidRDefault="005A28F4" w:rsidP="00C87FE8">
      <w:pPr>
        <w:spacing w:after="240"/>
        <w:rPr>
          <w:rFonts w:eastAsia="Times New Roman"/>
          <w:b/>
        </w:rPr>
      </w:pPr>
      <w:r w:rsidRPr="002C064F">
        <w:rPr>
          <w:rFonts w:eastAsia="Times New Roman"/>
          <w:b/>
        </w:rPr>
        <w:t xml:space="preserve">About the World Justice Project </w:t>
      </w:r>
    </w:p>
    <w:p w:rsidR="005A28F4" w:rsidRDefault="005A28F4" w:rsidP="00C87FE8">
      <w:pPr>
        <w:spacing w:after="240"/>
        <w:rPr>
          <w:rFonts w:eastAsia="Times New Roman"/>
        </w:rPr>
      </w:pPr>
      <w:r w:rsidRPr="002C064F">
        <w:rPr>
          <w:rFonts w:eastAsia="Times New Roman"/>
        </w:rPr>
        <w:t xml:space="preserve">The World Justice Project (WJP) is an independent, </w:t>
      </w:r>
      <w:r w:rsidR="00FE60D9">
        <w:rPr>
          <w:rFonts w:eastAsia="Times New Roman"/>
        </w:rPr>
        <w:t>multidisciplinary</w:t>
      </w:r>
      <w:r w:rsidRPr="002C064F">
        <w:rPr>
          <w:rFonts w:eastAsia="Times New Roman"/>
        </w:rPr>
        <w:t xml:space="preserve"> organization working to advance </w:t>
      </w:r>
      <w:r w:rsidR="00AC4731">
        <w:rPr>
          <w:rFonts w:eastAsia="Times New Roman"/>
        </w:rPr>
        <w:t>the rule of law around the globe</w:t>
      </w:r>
      <w:r w:rsidRPr="002C064F">
        <w:rPr>
          <w:rFonts w:eastAsia="Times New Roman"/>
        </w:rPr>
        <w:t xml:space="preserve">. Establishing the rule of law is fundamental to achieving communities of </w:t>
      </w:r>
      <w:r w:rsidRPr="002C064F">
        <w:rPr>
          <w:rFonts w:eastAsia="Times New Roman"/>
        </w:rPr>
        <w:lastRenderedPageBreak/>
        <w:t xml:space="preserve">opportunity and equity—communities that offer sustainable economic development, accountable government, and respect for fundamental rights. </w:t>
      </w:r>
      <w:r w:rsidR="00805504">
        <w:rPr>
          <w:rFonts w:eastAsia="Times New Roman"/>
        </w:rPr>
        <w:t xml:space="preserve"> </w:t>
      </w:r>
      <w:r w:rsidR="00805504" w:rsidRPr="00805504">
        <w:rPr>
          <w:rFonts w:eastAsia="Times New Roman"/>
        </w:rPr>
        <w:t xml:space="preserve">Our work engages citizens and leaders </w:t>
      </w:r>
      <w:r w:rsidR="00D3147A">
        <w:rPr>
          <w:rFonts w:eastAsia="Times New Roman"/>
        </w:rPr>
        <w:t xml:space="preserve">worldwide </w:t>
      </w:r>
      <w:r w:rsidR="00805504" w:rsidRPr="00805504">
        <w:rPr>
          <w:rFonts w:eastAsia="Times New Roman"/>
        </w:rPr>
        <w:t>and from all work disciplines to advance the</w:t>
      </w:r>
      <w:r w:rsidR="00AC4731">
        <w:rPr>
          <w:rFonts w:eastAsia="Times New Roman"/>
        </w:rPr>
        <w:t xml:space="preserve"> rule of law. Through our mutually reinforcing </w:t>
      </w:r>
      <w:r w:rsidR="00805504" w:rsidRPr="00805504">
        <w:rPr>
          <w:rFonts w:eastAsia="Times New Roman"/>
        </w:rPr>
        <w:t>programs of Research and Scholarship, the WJP Rule of Law Index</w:t>
      </w:r>
      <w:r w:rsidR="00A54E90" w:rsidRPr="00A54E90">
        <w:t>®</w:t>
      </w:r>
      <w:r w:rsidR="009725CC">
        <w:rPr>
          <w:rFonts w:eastAsia="Times New Roman"/>
        </w:rPr>
        <w:t>, and Engagement, WJP seeks to</w:t>
      </w:r>
      <w:r w:rsidR="009725CC" w:rsidRPr="00805504">
        <w:rPr>
          <w:rFonts w:eastAsia="Times New Roman"/>
        </w:rPr>
        <w:t xml:space="preserve"> increase public awareness about the foundational importance of the rule of law</w:t>
      </w:r>
      <w:r w:rsidR="009725CC">
        <w:rPr>
          <w:rFonts w:eastAsia="Times New Roman"/>
        </w:rPr>
        <w:t>,</w:t>
      </w:r>
      <w:r w:rsidR="009725CC" w:rsidRPr="00805504">
        <w:rPr>
          <w:rFonts w:eastAsia="Times New Roman"/>
        </w:rPr>
        <w:t xml:space="preserve"> </w:t>
      </w:r>
      <w:r w:rsidR="00805504" w:rsidRPr="00805504">
        <w:rPr>
          <w:rFonts w:eastAsia="Times New Roman"/>
        </w:rPr>
        <w:t xml:space="preserve">stimulate government reforms, </w:t>
      </w:r>
      <w:r w:rsidR="009725CC">
        <w:rPr>
          <w:rFonts w:eastAsia="Times New Roman"/>
        </w:rPr>
        <w:t xml:space="preserve">and </w:t>
      </w:r>
      <w:r w:rsidR="00805504" w:rsidRPr="00805504">
        <w:rPr>
          <w:rFonts w:eastAsia="Times New Roman"/>
        </w:rPr>
        <w:t xml:space="preserve">develop practical </w:t>
      </w:r>
      <w:r w:rsidR="009725CC">
        <w:rPr>
          <w:rFonts w:eastAsia="Times New Roman"/>
        </w:rPr>
        <w:t>programs at the community level</w:t>
      </w:r>
      <w:r w:rsidR="00805504" w:rsidRPr="00805504">
        <w:rPr>
          <w:rFonts w:eastAsia="Times New Roman"/>
        </w:rPr>
        <w:t>.</w:t>
      </w:r>
      <w:r w:rsidR="00AC4731">
        <w:rPr>
          <w:rFonts w:eastAsia="Times New Roman"/>
        </w:rPr>
        <w:t xml:space="preserve"> </w:t>
      </w:r>
      <w:r w:rsidR="002710F4">
        <w:rPr>
          <w:rFonts w:eastAsia="Times New Roman"/>
        </w:rPr>
        <w:t xml:space="preserve">Learn more: </w:t>
      </w:r>
      <w:hyperlink r:id="rId14" w:history="1">
        <w:r w:rsidR="002710F4" w:rsidRPr="00480F57">
          <w:rPr>
            <w:rStyle w:val="Hyperlink"/>
            <w:rFonts w:eastAsia="Times New Roman"/>
          </w:rPr>
          <w:t>www.worldjusticeproject.org</w:t>
        </w:r>
      </w:hyperlink>
    </w:p>
    <w:p w:rsidR="002710F4" w:rsidRPr="00AC4731" w:rsidRDefault="00F16A22" w:rsidP="00F16A22">
      <w:pPr>
        <w:spacing w:after="0" w:line="240" w:lineRule="auto"/>
        <w:jc w:val="center"/>
        <w:rPr>
          <w:rFonts w:eastAsia="Times New Roman"/>
        </w:rPr>
      </w:pPr>
      <w:r>
        <w:rPr>
          <w:rFonts w:eastAsia="Times New Roman"/>
        </w:rPr>
        <w:t>###</w:t>
      </w:r>
    </w:p>
    <w:sectPr w:rsidR="002710F4" w:rsidRPr="00AC4731" w:rsidSect="00E364AA">
      <w:headerReference w:type="default" r:id="rId15"/>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59" w:rsidRDefault="000D2359" w:rsidP="00B66882">
      <w:pPr>
        <w:spacing w:after="0" w:line="240" w:lineRule="auto"/>
      </w:pPr>
      <w:r>
        <w:separator/>
      </w:r>
    </w:p>
  </w:endnote>
  <w:endnote w:type="continuationSeparator" w:id="0">
    <w:p w:rsidR="000D2359" w:rsidRDefault="000D2359" w:rsidP="00B6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Lat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59" w:rsidRDefault="000D2359" w:rsidP="00B66882">
      <w:pPr>
        <w:spacing w:after="0" w:line="240" w:lineRule="auto"/>
      </w:pPr>
      <w:r>
        <w:separator/>
      </w:r>
    </w:p>
  </w:footnote>
  <w:footnote w:type="continuationSeparator" w:id="0">
    <w:p w:rsidR="000D2359" w:rsidRDefault="000D2359" w:rsidP="00B6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E8" w:rsidRDefault="005068E8" w:rsidP="00B66882">
    <w:pPr>
      <w:pStyle w:val="Header"/>
      <w:jc w:val="right"/>
    </w:pPr>
  </w:p>
  <w:p w:rsidR="005068E8" w:rsidRDefault="00506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10B9"/>
    <w:multiLevelType w:val="hybridMultilevel"/>
    <w:tmpl w:val="9A6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F0551"/>
    <w:multiLevelType w:val="hybridMultilevel"/>
    <w:tmpl w:val="57A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82"/>
    <w:rsid w:val="000026CA"/>
    <w:rsid w:val="00007E8D"/>
    <w:rsid w:val="00074D2A"/>
    <w:rsid w:val="0009672B"/>
    <w:rsid w:val="00097992"/>
    <w:rsid w:val="000A0341"/>
    <w:rsid w:val="000C2A3D"/>
    <w:rsid w:val="000D2359"/>
    <w:rsid w:val="000F17AC"/>
    <w:rsid w:val="000F55C3"/>
    <w:rsid w:val="00144E39"/>
    <w:rsid w:val="001476CB"/>
    <w:rsid w:val="00162E0C"/>
    <w:rsid w:val="001712A9"/>
    <w:rsid w:val="00171B11"/>
    <w:rsid w:val="001D3855"/>
    <w:rsid w:val="001D68D6"/>
    <w:rsid w:val="001E0398"/>
    <w:rsid w:val="00232DE2"/>
    <w:rsid w:val="0024010E"/>
    <w:rsid w:val="002429DF"/>
    <w:rsid w:val="002710F4"/>
    <w:rsid w:val="002964C1"/>
    <w:rsid w:val="002B7F52"/>
    <w:rsid w:val="002E1102"/>
    <w:rsid w:val="002E403E"/>
    <w:rsid w:val="003071EC"/>
    <w:rsid w:val="003276EF"/>
    <w:rsid w:val="003420F3"/>
    <w:rsid w:val="00371B8D"/>
    <w:rsid w:val="00387353"/>
    <w:rsid w:val="003B7FE1"/>
    <w:rsid w:val="003C1336"/>
    <w:rsid w:val="00405029"/>
    <w:rsid w:val="00425444"/>
    <w:rsid w:val="00472FFA"/>
    <w:rsid w:val="004B1B26"/>
    <w:rsid w:val="004E4892"/>
    <w:rsid w:val="005068E8"/>
    <w:rsid w:val="00545E89"/>
    <w:rsid w:val="005501B5"/>
    <w:rsid w:val="005546B6"/>
    <w:rsid w:val="00554F59"/>
    <w:rsid w:val="005830B9"/>
    <w:rsid w:val="00583401"/>
    <w:rsid w:val="00590922"/>
    <w:rsid w:val="005A1211"/>
    <w:rsid w:val="005A28F4"/>
    <w:rsid w:val="005A794F"/>
    <w:rsid w:val="005D1B7D"/>
    <w:rsid w:val="005E7CA7"/>
    <w:rsid w:val="00610070"/>
    <w:rsid w:val="00611E21"/>
    <w:rsid w:val="006128B0"/>
    <w:rsid w:val="00613731"/>
    <w:rsid w:val="00631237"/>
    <w:rsid w:val="00644EE5"/>
    <w:rsid w:val="00674F7E"/>
    <w:rsid w:val="006819CF"/>
    <w:rsid w:val="006A1E20"/>
    <w:rsid w:val="006D5F36"/>
    <w:rsid w:val="006F1A0F"/>
    <w:rsid w:val="00717A96"/>
    <w:rsid w:val="007708EF"/>
    <w:rsid w:val="007A5991"/>
    <w:rsid w:val="007A68AB"/>
    <w:rsid w:val="007A7D30"/>
    <w:rsid w:val="007D36CC"/>
    <w:rsid w:val="007E43DA"/>
    <w:rsid w:val="00805504"/>
    <w:rsid w:val="008D068A"/>
    <w:rsid w:val="008D6CC7"/>
    <w:rsid w:val="00917AE5"/>
    <w:rsid w:val="009376C3"/>
    <w:rsid w:val="009725CC"/>
    <w:rsid w:val="00981AE4"/>
    <w:rsid w:val="00983DAC"/>
    <w:rsid w:val="0099583A"/>
    <w:rsid w:val="009D4FFB"/>
    <w:rsid w:val="00A1082D"/>
    <w:rsid w:val="00A377CB"/>
    <w:rsid w:val="00A41FF3"/>
    <w:rsid w:val="00A530C8"/>
    <w:rsid w:val="00A532D0"/>
    <w:rsid w:val="00A54E90"/>
    <w:rsid w:val="00AC3557"/>
    <w:rsid w:val="00AC4731"/>
    <w:rsid w:val="00AE1F41"/>
    <w:rsid w:val="00AF2F9A"/>
    <w:rsid w:val="00AF71CB"/>
    <w:rsid w:val="00B01276"/>
    <w:rsid w:val="00B06966"/>
    <w:rsid w:val="00B16D28"/>
    <w:rsid w:val="00B24392"/>
    <w:rsid w:val="00B30C83"/>
    <w:rsid w:val="00B40E7E"/>
    <w:rsid w:val="00B426FD"/>
    <w:rsid w:val="00B65184"/>
    <w:rsid w:val="00B65855"/>
    <w:rsid w:val="00B66882"/>
    <w:rsid w:val="00B705C9"/>
    <w:rsid w:val="00B77E21"/>
    <w:rsid w:val="00B8012C"/>
    <w:rsid w:val="00B819D8"/>
    <w:rsid w:val="00BA11CD"/>
    <w:rsid w:val="00BB2C9E"/>
    <w:rsid w:val="00BB7405"/>
    <w:rsid w:val="00BD68DA"/>
    <w:rsid w:val="00BE0B52"/>
    <w:rsid w:val="00C00660"/>
    <w:rsid w:val="00C26354"/>
    <w:rsid w:val="00C3261F"/>
    <w:rsid w:val="00C3282B"/>
    <w:rsid w:val="00C60D89"/>
    <w:rsid w:val="00C630CE"/>
    <w:rsid w:val="00C87FE8"/>
    <w:rsid w:val="00D110BA"/>
    <w:rsid w:val="00D27948"/>
    <w:rsid w:val="00D3147A"/>
    <w:rsid w:val="00D40D72"/>
    <w:rsid w:val="00D47563"/>
    <w:rsid w:val="00D55AAF"/>
    <w:rsid w:val="00D55D3A"/>
    <w:rsid w:val="00D730E8"/>
    <w:rsid w:val="00DB4306"/>
    <w:rsid w:val="00DB529E"/>
    <w:rsid w:val="00DB6011"/>
    <w:rsid w:val="00DE00D2"/>
    <w:rsid w:val="00E04C50"/>
    <w:rsid w:val="00E12D29"/>
    <w:rsid w:val="00E21ECC"/>
    <w:rsid w:val="00E27B8A"/>
    <w:rsid w:val="00E364AA"/>
    <w:rsid w:val="00E741B5"/>
    <w:rsid w:val="00E85CFD"/>
    <w:rsid w:val="00E914DD"/>
    <w:rsid w:val="00E96059"/>
    <w:rsid w:val="00F16A22"/>
    <w:rsid w:val="00F22592"/>
    <w:rsid w:val="00F32352"/>
    <w:rsid w:val="00F6312D"/>
    <w:rsid w:val="00F83A28"/>
    <w:rsid w:val="00F849BB"/>
    <w:rsid w:val="00F87B24"/>
    <w:rsid w:val="00FD0702"/>
    <w:rsid w:val="00FE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82"/>
    <w:rPr>
      <w:rFonts w:ascii="Tahoma" w:hAnsi="Tahoma" w:cs="Tahoma"/>
      <w:sz w:val="16"/>
      <w:szCs w:val="16"/>
    </w:rPr>
  </w:style>
  <w:style w:type="paragraph" w:styleId="Header">
    <w:name w:val="header"/>
    <w:basedOn w:val="Normal"/>
    <w:link w:val="HeaderChar"/>
    <w:uiPriority w:val="99"/>
    <w:unhideWhenUsed/>
    <w:rsid w:val="00B6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82"/>
  </w:style>
  <w:style w:type="paragraph" w:styleId="Footer">
    <w:name w:val="footer"/>
    <w:basedOn w:val="Normal"/>
    <w:link w:val="FooterChar"/>
    <w:uiPriority w:val="99"/>
    <w:unhideWhenUsed/>
    <w:rsid w:val="00B6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82"/>
  </w:style>
  <w:style w:type="character" w:styleId="Hyperlink">
    <w:name w:val="Hyperlink"/>
    <w:basedOn w:val="DefaultParagraphFont"/>
    <w:uiPriority w:val="99"/>
    <w:unhideWhenUsed/>
    <w:rsid w:val="00B66882"/>
    <w:rPr>
      <w:color w:val="0000FF" w:themeColor="hyperlink"/>
      <w:u w:val="single"/>
    </w:rPr>
  </w:style>
  <w:style w:type="paragraph" w:styleId="ListParagraph">
    <w:name w:val="List Paragraph"/>
    <w:basedOn w:val="Normal"/>
    <w:uiPriority w:val="34"/>
    <w:qFormat/>
    <w:rsid w:val="00613731"/>
    <w:pPr>
      <w:ind w:left="720"/>
      <w:contextualSpacing/>
    </w:pPr>
  </w:style>
  <w:style w:type="character" w:styleId="CommentReference">
    <w:name w:val="annotation reference"/>
    <w:basedOn w:val="DefaultParagraphFont"/>
    <w:uiPriority w:val="99"/>
    <w:semiHidden/>
    <w:unhideWhenUsed/>
    <w:rsid w:val="00DB6011"/>
    <w:rPr>
      <w:sz w:val="16"/>
      <w:szCs w:val="16"/>
    </w:rPr>
  </w:style>
  <w:style w:type="paragraph" w:styleId="CommentText">
    <w:name w:val="annotation text"/>
    <w:basedOn w:val="Normal"/>
    <w:link w:val="CommentTextChar"/>
    <w:uiPriority w:val="99"/>
    <w:semiHidden/>
    <w:unhideWhenUsed/>
    <w:rsid w:val="00DB6011"/>
    <w:pPr>
      <w:spacing w:line="240" w:lineRule="auto"/>
    </w:pPr>
    <w:rPr>
      <w:sz w:val="20"/>
      <w:szCs w:val="20"/>
    </w:rPr>
  </w:style>
  <w:style w:type="character" w:customStyle="1" w:styleId="CommentTextChar">
    <w:name w:val="Comment Text Char"/>
    <w:basedOn w:val="DefaultParagraphFont"/>
    <w:link w:val="CommentText"/>
    <w:uiPriority w:val="99"/>
    <w:semiHidden/>
    <w:rsid w:val="00DB6011"/>
    <w:rPr>
      <w:sz w:val="20"/>
      <w:szCs w:val="20"/>
    </w:rPr>
  </w:style>
  <w:style w:type="paragraph" w:styleId="CommentSubject">
    <w:name w:val="annotation subject"/>
    <w:basedOn w:val="CommentText"/>
    <w:next w:val="CommentText"/>
    <w:link w:val="CommentSubjectChar"/>
    <w:uiPriority w:val="99"/>
    <w:semiHidden/>
    <w:unhideWhenUsed/>
    <w:rsid w:val="00DB6011"/>
    <w:rPr>
      <w:b/>
      <w:bCs/>
    </w:rPr>
  </w:style>
  <w:style w:type="character" w:customStyle="1" w:styleId="CommentSubjectChar">
    <w:name w:val="Comment Subject Char"/>
    <w:basedOn w:val="CommentTextChar"/>
    <w:link w:val="CommentSubject"/>
    <w:uiPriority w:val="99"/>
    <w:semiHidden/>
    <w:rsid w:val="00DB6011"/>
    <w:rPr>
      <w:b/>
      <w:bCs/>
      <w:sz w:val="20"/>
      <w:szCs w:val="20"/>
    </w:rPr>
  </w:style>
  <w:style w:type="paragraph" w:styleId="PlainText">
    <w:name w:val="Plain Text"/>
    <w:basedOn w:val="Normal"/>
    <w:link w:val="PlainTextChar"/>
    <w:uiPriority w:val="99"/>
    <w:semiHidden/>
    <w:unhideWhenUsed/>
    <w:rsid w:val="00A532D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532D0"/>
    <w:rPr>
      <w:rFonts w:ascii="Calibri" w:hAnsi="Calibri" w:cs="Times New Roman"/>
    </w:rPr>
  </w:style>
  <w:style w:type="paragraph" w:customStyle="1" w:styleId="SubFactorLabelTable">
    <w:name w:val="SubFactor Label Table"/>
    <w:basedOn w:val="Normal"/>
    <w:uiPriority w:val="99"/>
    <w:rsid w:val="00A532D0"/>
    <w:pPr>
      <w:autoSpaceDE w:val="0"/>
      <w:autoSpaceDN w:val="0"/>
      <w:spacing w:after="0" w:line="120" w:lineRule="atLeast"/>
      <w:ind w:left="28" w:right="28"/>
      <w:jc w:val="center"/>
    </w:pPr>
    <w:rPr>
      <w:rFonts w:ascii="Lato" w:hAnsi="Lato" w:cs="Times New Roman"/>
      <w:b/>
      <w:bCs/>
      <w:caps/>
      <w:color w:val="FFFFFF"/>
      <w:spacing w:val="12"/>
      <w:sz w:val="10"/>
      <w:szCs w:val="10"/>
    </w:rPr>
  </w:style>
  <w:style w:type="paragraph" w:customStyle="1" w:styleId="rankingstableCA">
    <w:name w:val="rankings table CA"/>
    <w:basedOn w:val="Normal"/>
    <w:uiPriority w:val="99"/>
    <w:rsid w:val="00A532D0"/>
    <w:pPr>
      <w:autoSpaceDE w:val="0"/>
      <w:autoSpaceDN w:val="0"/>
      <w:spacing w:after="0" w:line="100" w:lineRule="atLeast"/>
      <w:jc w:val="center"/>
    </w:pPr>
    <w:rPr>
      <w:rFonts w:ascii="Lato Light" w:hAnsi="Lato Light" w:cs="Times New Roman"/>
      <w:color w:val="000000"/>
      <w:spacing w:val="12"/>
      <w:sz w:val="10"/>
      <w:szCs w:val="10"/>
    </w:rPr>
  </w:style>
  <w:style w:type="character" w:customStyle="1" w:styleId="CountryTerritoryTable">
    <w:name w:val="Country/Territory Table"/>
    <w:basedOn w:val="DefaultParagraphFont"/>
    <w:uiPriority w:val="99"/>
    <w:rsid w:val="00A5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882"/>
    <w:rPr>
      <w:rFonts w:ascii="Tahoma" w:hAnsi="Tahoma" w:cs="Tahoma"/>
      <w:sz w:val="16"/>
      <w:szCs w:val="16"/>
    </w:rPr>
  </w:style>
  <w:style w:type="paragraph" w:styleId="Header">
    <w:name w:val="header"/>
    <w:basedOn w:val="Normal"/>
    <w:link w:val="HeaderChar"/>
    <w:uiPriority w:val="99"/>
    <w:unhideWhenUsed/>
    <w:rsid w:val="00B6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882"/>
  </w:style>
  <w:style w:type="paragraph" w:styleId="Footer">
    <w:name w:val="footer"/>
    <w:basedOn w:val="Normal"/>
    <w:link w:val="FooterChar"/>
    <w:uiPriority w:val="99"/>
    <w:unhideWhenUsed/>
    <w:rsid w:val="00B6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882"/>
  </w:style>
  <w:style w:type="character" w:styleId="Hyperlink">
    <w:name w:val="Hyperlink"/>
    <w:basedOn w:val="DefaultParagraphFont"/>
    <w:uiPriority w:val="99"/>
    <w:unhideWhenUsed/>
    <w:rsid w:val="00B66882"/>
    <w:rPr>
      <w:color w:val="0000FF" w:themeColor="hyperlink"/>
      <w:u w:val="single"/>
    </w:rPr>
  </w:style>
  <w:style w:type="paragraph" w:styleId="ListParagraph">
    <w:name w:val="List Paragraph"/>
    <w:basedOn w:val="Normal"/>
    <w:uiPriority w:val="34"/>
    <w:qFormat/>
    <w:rsid w:val="00613731"/>
    <w:pPr>
      <w:ind w:left="720"/>
      <w:contextualSpacing/>
    </w:pPr>
  </w:style>
  <w:style w:type="character" w:styleId="CommentReference">
    <w:name w:val="annotation reference"/>
    <w:basedOn w:val="DefaultParagraphFont"/>
    <w:uiPriority w:val="99"/>
    <w:semiHidden/>
    <w:unhideWhenUsed/>
    <w:rsid w:val="00DB6011"/>
    <w:rPr>
      <w:sz w:val="16"/>
      <w:szCs w:val="16"/>
    </w:rPr>
  </w:style>
  <w:style w:type="paragraph" w:styleId="CommentText">
    <w:name w:val="annotation text"/>
    <w:basedOn w:val="Normal"/>
    <w:link w:val="CommentTextChar"/>
    <w:uiPriority w:val="99"/>
    <w:semiHidden/>
    <w:unhideWhenUsed/>
    <w:rsid w:val="00DB6011"/>
    <w:pPr>
      <w:spacing w:line="240" w:lineRule="auto"/>
    </w:pPr>
    <w:rPr>
      <w:sz w:val="20"/>
      <w:szCs w:val="20"/>
    </w:rPr>
  </w:style>
  <w:style w:type="character" w:customStyle="1" w:styleId="CommentTextChar">
    <w:name w:val="Comment Text Char"/>
    <w:basedOn w:val="DefaultParagraphFont"/>
    <w:link w:val="CommentText"/>
    <w:uiPriority w:val="99"/>
    <w:semiHidden/>
    <w:rsid w:val="00DB6011"/>
    <w:rPr>
      <w:sz w:val="20"/>
      <w:szCs w:val="20"/>
    </w:rPr>
  </w:style>
  <w:style w:type="paragraph" w:styleId="CommentSubject">
    <w:name w:val="annotation subject"/>
    <w:basedOn w:val="CommentText"/>
    <w:next w:val="CommentText"/>
    <w:link w:val="CommentSubjectChar"/>
    <w:uiPriority w:val="99"/>
    <w:semiHidden/>
    <w:unhideWhenUsed/>
    <w:rsid w:val="00DB6011"/>
    <w:rPr>
      <w:b/>
      <w:bCs/>
    </w:rPr>
  </w:style>
  <w:style w:type="character" w:customStyle="1" w:styleId="CommentSubjectChar">
    <w:name w:val="Comment Subject Char"/>
    <w:basedOn w:val="CommentTextChar"/>
    <w:link w:val="CommentSubject"/>
    <w:uiPriority w:val="99"/>
    <w:semiHidden/>
    <w:rsid w:val="00DB6011"/>
    <w:rPr>
      <w:b/>
      <w:bCs/>
      <w:sz w:val="20"/>
      <w:szCs w:val="20"/>
    </w:rPr>
  </w:style>
  <w:style w:type="paragraph" w:styleId="PlainText">
    <w:name w:val="Plain Text"/>
    <w:basedOn w:val="Normal"/>
    <w:link w:val="PlainTextChar"/>
    <w:uiPriority w:val="99"/>
    <w:semiHidden/>
    <w:unhideWhenUsed/>
    <w:rsid w:val="00A532D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532D0"/>
    <w:rPr>
      <w:rFonts w:ascii="Calibri" w:hAnsi="Calibri" w:cs="Times New Roman"/>
    </w:rPr>
  </w:style>
  <w:style w:type="paragraph" w:customStyle="1" w:styleId="SubFactorLabelTable">
    <w:name w:val="SubFactor Label Table"/>
    <w:basedOn w:val="Normal"/>
    <w:uiPriority w:val="99"/>
    <w:rsid w:val="00A532D0"/>
    <w:pPr>
      <w:autoSpaceDE w:val="0"/>
      <w:autoSpaceDN w:val="0"/>
      <w:spacing w:after="0" w:line="120" w:lineRule="atLeast"/>
      <w:ind w:left="28" w:right="28"/>
      <w:jc w:val="center"/>
    </w:pPr>
    <w:rPr>
      <w:rFonts w:ascii="Lato" w:hAnsi="Lato" w:cs="Times New Roman"/>
      <w:b/>
      <w:bCs/>
      <w:caps/>
      <w:color w:val="FFFFFF"/>
      <w:spacing w:val="12"/>
      <w:sz w:val="10"/>
      <w:szCs w:val="10"/>
    </w:rPr>
  </w:style>
  <w:style w:type="paragraph" w:customStyle="1" w:styleId="rankingstableCA">
    <w:name w:val="rankings table CA"/>
    <w:basedOn w:val="Normal"/>
    <w:uiPriority w:val="99"/>
    <w:rsid w:val="00A532D0"/>
    <w:pPr>
      <w:autoSpaceDE w:val="0"/>
      <w:autoSpaceDN w:val="0"/>
      <w:spacing w:after="0" w:line="100" w:lineRule="atLeast"/>
      <w:jc w:val="center"/>
    </w:pPr>
    <w:rPr>
      <w:rFonts w:ascii="Lato Light" w:hAnsi="Lato Light" w:cs="Times New Roman"/>
      <w:color w:val="000000"/>
      <w:spacing w:val="12"/>
      <w:sz w:val="10"/>
      <w:szCs w:val="10"/>
    </w:rPr>
  </w:style>
  <w:style w:type="character" w:customStyle="1" w:styleId="CountryTerritoryTable">
    <w:name w:val="Country/Territory Table"/>
    <w:basedOn w:val="DefaultParagraphFont"/>
    <w:uiPriority w:val="99"/>
    <w:rsid w:val="00A5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4914">
      <w:bodyDiv w:val="1"/>
      <w:marLeft w:val="0"/>
      <w:marRight w:val="0"/>
      <w:marTop w:val="0"/>
      <w:marBottom w:val="0"/>
      <w:divBdr>
        <w:top w:val="none" w:sz="0" w:space="0" w:color="auto"/>
        <w:left w:val="none" w:sz="0" w:space="0" w:color="auto"/>
        <w:bottom w:val="none" w:sz="0" w:space="0" w:color="auto"/>
        <w:right w:val="none" w:sz="0" w:space="0" w:color="auto"/>
      </w:divBdr>
    </w:div>
    <w:div w:id="451751840">
      <w:bodyDiv w:val="1"/>
      <w:marLeft w:val="0"/>
      <w:marRight w:val="0"/>
      <w:marTop w:val="0"/>
      <w:marBottom w:val="0"/>
      <w:divBdr>
        <w:top w:val="none" w:sz="0" w:space="0" w:color="auto"/>
        <w:left w:val="none" w:sz="0" w:space="0" w:color="auto"/>
        <w:bottom w:val="none" w:sz="0" w:space="0" w:color="auto"/>
        <w:right w:val="none" w:sz="0" w:space="0" w:color="auto"/>
      </w:divBdr>
    </w:div>
    <w:div w:id="969752534">
      <w:bodyDiv w:val="1"/>
      <w:marLeft w:val="0"/>
      <w:marRight w:val="0"/>
      <w:marTop w:val="0"/>
      <w:marBottom w:val="0"/>
      <w:divBdr>
        <w:top w:val="none" w:sz="0" w:space="0" w:color="auto"/>
        <w:left w:val="none" w:sz="0" w:space="0" w:color="auto"/>
        <w:bottom w:val="none" w:sz="0" w:space="0" w:color="auto"/>
        <w:right w:val="none" w:sz="0" w:space="0" w:color="auto"/>
      </w:divBdr>
    </w:div>
    <w:div w:id="1139226931">
      <w:bodyDiv w:val="1"/>
      <w:marLeft w:val="0"/>
      <w:marRight w:val="0"/>
      <w:marTop w:val="0"/>
      <w:marBottom w:val="0"/>
      <w:divBdr>
        <w:top w:val="none" w:sz="0" w:space="0" w:color="auto"/>
        <w:left w:val="none" w:sz="0" w:space="0" w:color="auto"/>
        <w:bottom w:val="none" w:sz="0" w:space="0" w:color="auto"/>
        <w:right w:val="none" w:sz="0" w:space="0" w:color="auto"/>
      </w:divBdr>
    </w:div>
    <w:div w:id="1241403446">
      <w:bodyDiv w:val="1"/>
      <w:marLeft w:val="0"/>
      <w:marRight w:val="0"/>
      <w:marTop w:val="0"/>
      <w:marBottom w:val="0"/>
      <w:divBdr>
        <w:top w:val="none" w:sz="0" w:space="0" w:color="auto"/>
        <w:left w:val="none" w:sz="0" w:space="0" w:color="auto"/>
        <w:bottom w:val="none" w:sz="0" w:space="0" w:color="auto"/>
        <w:right w:val="none" w:sz="0" w:space="0" w:color="auto"/>
      </w:divBdr>
    </w:div>
    <w:div w:id="1332490125">
      <w:bodyDiv w:val="1"/>
      <w:marLeft w:val="0"/>
      <w:marRight w:val="0"/>
      <w:marTop w:val="0"/>
      <w:marBottom w:val="0"/>
      <w:divBdr>
        <w:top w:val="none" w:sz="0" w:space="0" w:color="auto"/>
        <w:left w:val="none" w:sz="0" w:space="0" w:color="auto"/>
        <w:bottom w:val="none" w:sz="0" w:space="0" w:color="auto"/>
        <w:right w:val="none" w:sz="0" w:space="0" w:color="auto"/>
      </w:divBdr>
      <w:divsChild>
        <w:div w:id="929119061">
          <w:marLeft w:val="0"/>
          <w:marRight w:val="0"/>
          <w:marTop w:val="0"/>
          <w:marBottom w:val="0"/>
          <w:divBdr>
            <w:top w:val="none" w:sz="0" w:space="0" w:color="auto"/>
            <w:left w:val="none" w:sz="0" w:space="0" w:color="auto"/>
            <w:bottom w:val="none" w:sz="0" w:space="0" w:color="auto"/>
            <w:right w:val="none" w:sz="0" w:space="0" w:color="auto"/>
          </w:divBdr>
        </w:div>
      </w:divsChild>
    </w:div>
    <w:div w:id="1559244474">
      <w:bodyDiv w:val="1"/>
      <w:marLeft w:val="0"/>
      <w:marRight w:val="0"/>
      <w:marTop w:val="0"/>
      <w:marBottom w:val="0"/>
      <w:divBdr>
        <w:top w:val="none" w:sz="0" w:space="0" w:color="auto"/>
        <w:left w:val="none" w:sz="0" w:space="0" w:color="auto"/>
        <w:bottom w:val="none" w:sz="0" w:space="0" w:color="auto"/>
        <w:right w:val="none" w:sz="0" w:space="0" w:color="auto"/>
      </w:divBdr>
    </w:div>
    <w:div w:id="16661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wjpne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ldjusticeproject.org/rule-of-law-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worldjusticeprojec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ess@wjpne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ldjustic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F53F-F066-4E25-8C9C-541786FF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cp:lastModifiedBy>
  <cp:revision>5</cp:revision>
  <dcterms:created xsi:type="dcterms:W3CDTF">2014-05-06T23:11:00Z</dcterms:created>
  <dcterms:modified xsi:type="dcterms:W3CDTF">2014-05-06T23:40:00Z</dcterms:modified>
</cp:coreProperties>
</file>